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A0E9" w14:textId="77777777" w:rsidR="00397A3C" w:rsidRDefault="00397A3C">
      <w:pPr>
        <w:rPr>
          <w:lang w:val="en-US"/>
        </w:rPr>
      </w:pPr>
    </w:p>
    <w:p w14:paraId="02DB7353" w14:textId="77777777" w:rsidR="00397A3C" w:rsidRDefault="00397A3C">
      <w:pPr>
        <w:rPr>
          <w:lang w:val="en-US"/>
        </w:rPr>
      </w:pPr>
    </w:p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0"/>
        <w:gridCol w:w="1845"/>
        <w:gridCol w:w="4840"/>
      </w:tblGrid>
      <w:tr w:rsidR="00397A3C" w:rsidRPr="00397A3C" w14:paraId="6CEA9B5C" w14:textId="77777777" w:rsidTr="00BD743A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027" w:type="pct"/>
          </w:tcPr>
          <w:p w14:paraId="29E6A7F1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БАШҠОРТОСТАН РЕСПУБЛИКАҺ</w:t>
            </w:r>
            <w:proofErr w:type="gramStart"/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Ы</w:t>
            </w:r>
            <w:proofErr w:type="gramEnd"/>
          </w:p>
          <w:p w14:paraId="10C59EF2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ҒАФУРИ РАЙОНЫ </w:t>
            </w:r>
          </w:p>
          <w:p w14:paraId="086F6DF4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МУНИЦИПАЛЬ РАЙОНЫНЫӉ </w:t>
            </w:r>
          </w:p>
          <w:p w14:paraId="35D9DA6B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СƏЙЕТБАБА</w:t>
            </w:r>
          </w:p>
          <w:p w14:paraId="019D1E3B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АУЫЛ СОВЕТЫ</w:t>
            </w:r>
            <w:r w:rsidRPr="00397A3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14:paraId="039D6B5E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АУЫЛ БИЛƏМƏҺЕ </w:t>
            </w:r>
          </w:p>
          <w:p w14:paraId="492CB5E3" w14:textId="77777777" w:rsidR="00397A3C" w:rsidRPr="00397A3C" w:rsidRDefault="00397A3C" w:rsidP="00397A3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820" w:type="pct"/>
          </w:tcPr>
          <w:p w14:paraId="534AA868" w14:textId="5297B804" w:rsidR="00397A3C" w:rsidRPr="00397A3C" w:rsidRDefault="00397A3C" w:rsidP="00397A3C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8AFBB1" wp14:editId="486B2C85">
                  <wp:extent cx="933450" cy="1162050"/>
                  <wp:effectExtent l="0" t="0" r="0" b="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14:paraId="722B8554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СОВЕТ</w:t>
            </w:r>
          </w:p>
          <w:p w14:paraId="0AA6E8C5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14:paraId="403C8DC8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САИТБАБИНСКИЙ СЕЛЬСОВЕТ</w:t>
            </w:r>
          </w:p>
          <w:p w14:paraId="6E17FEAE" w14:textId="77777777" w:rsidR="00397A3C" w:rsidRPr="00397A3C" w:rsidRDefault="00397A3C" w:rsidP="00397A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  <w:t xml:space="preserve">МУНИЦИПАЛЬНОГО РАЙОНА ГАФУРИЙСКИЙ РАЙОН </w:t>
            </w:r>
          </w:p>
          <w:p w14:paraId="29924EED" w14:textId="77777777" w:rsidR="00397A3C" w:rsidRPr="00397A3C" w:rsidRDefault="00397A3C" w:rsidP="00397A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7F56FA46" w14:textId="77777777" w:rsidR="00397A3C" w:rsidRPr="00397A3C" w:rsidRDefault="00397A3C" w:rsidP="00397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10563"/>
      </w:tblGrid>
      <w:tr w:rsidR="00397A3C" w:rsidRPr="00397A3C" w14:paraId="285F7CDB" w14:textId="77777777" w:rsidTr="00BD743A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0070C0"/>
          </w:tcPr>
          <w:p w14:paraId="46CC582C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  <w:lang w:eastAsia="ru-RU"/>
              </w:rPr>
            </w:pPr>
          </w:p>
        </w:tc>
      </w:tr>
    </w:tbl>
    <w:p w14:paraId="7245B479" w14:textId="77777777" w:rsidR="00397A3C" w:rsidRPr="00397A3C" w:rsidRDefault="00397A3C" w:rsidP="00397A3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397A3C" w:rsidRPr="00397A3C" w14:paraId="13918D58" w14:textId="77777777" w:rsidTr="00BD743A">
        <w:tc>
          <w:tcPr>
            <w:tcW w:w="3828" w:type="dxa"/>
            <w:shd w:val="clear" w:color="auto" w:fill="auto"/>
          </w:tcPr>
          <w:p w14:paraId="77297AC4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14:paraId="0D57B84D" w14:textId="77777777" w:rsidR="00397A3C" w:rsidRPr="00397A3C" w:rsidRDefault="00397A3C" w:rsidP="0039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94628A0" w14:textId="77777777" w:rsidR="00397A3C" w:rsidRPr="00397A3C" w:rsidRDefault="00397A3C" w:rsidP="0039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5673E693" w14:textId="77777777" w:rsidR="00397A3C" w:rsidRPr="009F6639" w:rsidRDefault="00397A3C" w:rsidP="00397A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7617D1B" w14:textId="77777777" w:rsidR="00397A3C" w:rsidRPr="009F6639" w:rsidRDefault="00397A3C" w:rsidP="00397A3C">
      <w:pPr>
        <w:tabs>
          <w:tab w:val="num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О публичных слушаниях </w:t>
      </w:r>
    </w:p>
    <w:p w14:paraId="32093745" w14:textId="6F24B93D" w:rsidR="00397A3C" w:rsidRPr="009F6639" w:rsidRDefault="00397A3C" w:rsidP="00397A3C">
      <w:pPr>
        <w:tabs>
          <w:tab w:val="num" w:pos="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по проекту решения Совета 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Республики Башкортостан на 202</w:t>
      </w:r>
      <w:r w:rsidRPr="00397A3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Pr="00397A3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-202</w:t>
      </w:r>
      <w:r w:rsidRPr="00397A3C">
        <w:rPr>
          <w:rFonts w:ascii="Arial" w:hAnsi="Arial" w:cs="Arial"/>
          <w:b/>
          <w:sz w:val="24"/>
          <w:szCs w:val="24"/>
        </w:rPr>
        <w:t>6</w:t>
      </w:r>
      <w:r w:rsidRPr="009F6639">
        <w:rPr>
          <w:rFonts w:ascii="Arial" w:hAnsi="Arial" w:cs="Arial"/>
          <w:b/>
          <w:sz w:val="24"/>
          <w:szCs w:val="24"/>
        </w:rPr>
        <w:t xml:space="preserve"> годов»</w:t>
      </w:r>
    </w:p>
    <w:p w14:paraId="269A3054" w14:textId="77777777" w:rsidR="00397A3C" w:rsidRPr="009F6639" w:rsidRDefault="00397A3C" w:rsidP="00397A3C">
      <w:pPr>
        <w:spacing w:after="0"/>
        <w:ind w:left="502"/>
        <w:contextualSpacing/>
        <w:jc w:val="center"/>
        <w:rPr>
          <w:rFonts w:ascii="Arial" w:hAnsi="Arial" w:cs="Arial"/>
          <w:sz w:val="24"/>
          <w:szCs w:val="24"/>
        </w:rPr>
      </w:pPr>
    </w:p>
    <w:p w14:paraId="043CCD54" w14:textId="77777777" w:rsidR="00397A3C" w:rsidRPr="009F6639" w:rsidRDefault="00397A3C" w:rsidP="00397A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6639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ст.13 Устава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Башкортостан, положения «Об утверждении положения о порядке организации и проведения  публичных слушаний в сельском поселении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Башкортостан, утвержденного решением Совета №4-26 от 14.11.2019 года Совет</w:t>
      </w:r>
      <w:proofErr w:type="gramEnd"/>
      <w:r w:rsidRPr="009F663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  решил:</w:t>
      </w:r>
    </w:p>
    <w:p w14:paraId="2B9DB595" w14:textId="77777777" w:rsidR="00397A3C" w:rsidRPr="009F6639" w:rsidRDefault="00397A3C" w:rsidP="00397A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4BD318" w14:textId="65E8AACC" w:rsidR="00397A3C" w:rsidRPr="009F6639" w:rsidRDefault="00397A3C" w:rsidP="00397A3C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9F6639"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b/>
          <w:sz w:val="24"/>
          <w:szCs w:val="24"/>
        </w:rPr>
        <w:t xml:space="preserve">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Республики Башкортостан на 202</w:t>
      </w:r>
      <w:r w:rsidRPr="00397A3C">
        <w:rPr>
          <w:rFonts w:ascii="Arial" w:hAnsi="Arial" w:cs="Arial"/>
          <w:sz w:val="24"/>
          <w:szCs w:val="24"/>
        </w:rPr>
        <w:t>4</w:t>
      </w:r>
      <w:r w:rsidRPr="009F663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Pr="00397A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Pr="00397A3C">
        <w:rPr>
          <w:rFonts w:ascii="Arial" w:hAnsi="Arial" w:cs="Arial"/>
          <w:sz w:val="24"/>
          <w:szCs w:val="24"/>
        </w:rPr>
        <w:t>6</w:t>
      </w:r>
      <w:r w:rsidRPr="009F6639">
        <w:rPr>
          <w:rFonts w:ascii="Arial" w:hAnsi="Arial" w:cs="Arial"/>
          <w:sz w:val="24"/>
          <w:szCs w:val="24"/>
        </w:rPr>
        <w:t xml:space="preserve"> годов» (далее – проект решения  Совета), </w:t>
      </w:r>
      <w:r w:rsidRPr="009F6639">
        <w:rPr>
          <w:rFonts w:ascii="Arial" w:hAnsi="Arial" w:cs="Arial"/>
          <w:b/>
          <w:sz w:val="24"/>
          <w:szCs w:val="24"/>
        </w:rPr>
        <w:t>«13</w:t>
      </w:r>
      <w:r>
        <w:rPr>
          <w:rFonts w:ascii="Arial" w:hAnsi="Arial" w:cs="Arial"/>
          <w:b/>
          <w:sz w:val="24"/>
          <w:szCs w:val="24"/>
        </w:rPr>
        <w:t>» декабря 202</w:t>
      </w:r>
      <w:r w:rsidRPr="00397A3C">
        <w:rPr>
          <w:rFonts w:ascii="Arial" w:hAnsi="Arial" w:cs="Arial"/>
          <w:b/>
          <w:sz w:val="24"/>
          <w:szCs w:val="24"/>
        </w:rPr>
        <w:t>3</w:t>
      </w:r>
      <w:r w:rsidRPr="009F6639">
        <w:rPr>
          <w:rFonts w:ascii="Arial" w:hAnsi="Arial" w:cs="Arial"/>
          <w:b/>
          <w:sz w:val="24"/>
          <w:szCs w:val="24"/>
        </w:rPr>
        <w:t xml:space="preserve"> г.</w:t>
      </w:r>
      <w:r w:rsidRPr="009F6639">
        <w:rPr>
          <w:rFonts w:ascii="Arial" w:hAnsi="Arial" w:cs="Arial"/>
          <w:sz w:val="24"/>
          <w:szCs w:val="24"/>
        </w:rPr>
        <w:t xml:space="preserve"> </w:t>
      </w:r>
      <w:r w:rsidRPr="009F6639">
        <w:rPr>
          <w:rFonts w:ascii="Arial" w:hAnsi="Arial" w:cs="Arial"/>
          <w:b/>
          <w:sz w:val="24"/>
          <w:szCs w:val="24"/>
        </w:rPr>
        <w:t>в 11.00 часов</w:t>
      </w:r>
      <w:r w:rsidRPr="009F6639">
        <w:rPr>
          <w:rFonts w:ascii="Arial" w:hAnsi="Arial" w:cs="Arial"/>
          <w:sz w:val="24"/>
          <w:szCs w:val="24"/>
        </w:rPr>
        <w:t xml:space="preserve"> в кабинете главы </w:t>
      </w:r>
      <w:r w:rsidRPr="009F6639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proofErr w:type="gramEnd"/>
      <w:r w:rsidRPr="009F6639">
        <w:rPr>
          <w:rFonts w:ascii="Arial" w:hAnsi="Arial" w:cs="Arial"/>
          <w:sz w:val="24"/>
          <w:szCs w:val="24"/>
        </w:rPr>
        <w:t xml:space="preserve"> район по адресу: Республика Башкортостан,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Саитбаба</w:t>
      </w:r>
      <w:proofErr w:type="spellEnd"/>
      <w:r w:rsidRPr="009F6639">
        <w:rPr>
          <w:rFonts w:ascii="Arial" w:hAnsi="Arial" w:cs="Arial"/>
          <w:sz w:val="24"/>
          <w:szCs w:val="24"/>
        </w:rPr>
        <w:t>, ул. Партизанская, 50.</w:t>
      </w:r>
    </w:p>
    <w:p w14:paraId="63EE21DF" w14:textId="77777777" w:rsidR="00397A3C" w:rsidRPr="009F6639" w:rsidRDefault="00397A3C" w:rsidP="00397A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iCs/>
          <w:sz w:val="24"/>
          <w:szCs w:val="24"/>
        </w:rPr>
        <w:t xml:space="preserve">2. Организацию и проведение </w:t>
      </w:r>
      <w:r w:rsidRPr="009F6639">
        <w:rPr>
          <w:rFonts w:ascii="Arial" w:hAnsi="Arial" w:cs="Arial"/>
          <w:sz w:val="24"/>
          <w:szCs w:val="24"/>
        </w:rPr>
        <w:t xml:space="preserve">публичных слушаний по проекту решения Совета </w:t>
      </w:r>
      <w:r w:rsidRPr="009F6639">
        <w:rPr>
          <w:rFonts w:ascii="Arial" w:hAnsi="Arial" w:cs="Arial"/>
          <w:iCs/>
          <w:sz w:val="24"/>
          <w:szCs w:val="24"/>
        </w:rPr>
        <w:t xml:space="preserve">возложить на </w:t>
      </w:r>
      <w:r w:rsidRPr="009F6639">
        <w:rPr>
          <w:rFonts w:ascii="Arial" w:hAnsi="Arial" w:cs="Arial"/>
          <w:sz w:val="24"/>
          <w:szCs w:val="24"/>
        </w:rPr>
        <w:t xml:space="preserve">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b/>
          <w:sz w:val="24"/>
          <w:szCs w:val="24"/>
        </w:rPr>
        <w:t xml:space="preserve">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Башкортостан. </w:t>
      </w:r>
    </w:p>
    <w:p w14:paraId="41966644" w14:textId="77777777" w:rsidR="00397A3C" w:rsidRPr="009F6639" w:rsidRDefault="00397A3C" w:rsidP="00397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6639">
        <w:rPr>
          <w:rFonts w:ascii="Arial" w:hAnsi="Arial" w:cs="Arial"/>
          <w:bCs/>
          <w:sz w:val="24"/>
          <w:szCs w:val="24"/>
          <w:lang w:eastAsia="ru-RU"/>
        </w:rPr>
        <w:t>3. Утвердить комиссию по подготовке и проведению публичных слушаний в следующем составе:</w:t>
      </w:r>
    </w:p>
    <w:p w14:paraId="41DE1B04" w14:textId="77777777" w:rsidR="00397A3C" w:rsidRPr="009F6639" w:rsidRDefault="00397A3C" w:rsidP="00397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6639">
        <w:rPr>
          <w:rFonts w:ascii="Arial" w:hAnsi="Arial" w:cs="Arial"/>
          <w:bCs/>
          <w:sz w:val="24"/>
          <w:szCs w:val="24"/>
          <w:lang w:eastAsia="ru-RU"/>
        </w:rPr>
        <w:t>-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Кунафин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Венер 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Сахиуллович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– глава сельского поселения 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сельсовет;</w:t>
      </w:r>
    </w:p>
    <w:p w14:paraId="00BF39E8" w14:textId="53623599" w:rsidR="00397A3C" w:rsidRDefault="00397A3C" w:rsidP="00397A3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Абдульманова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Зульфия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Раисовна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1;</w:t>
      </w:r>
    </w:p>
    <w:p w14:paraId="67C2DD6A" w14:textId="77777777" w:rsidR="00397A3C" w:rsidRPr="009F6639" w:rsidRDefault="00397A3C" w:rsidP="00397A3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Вахитов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Шамил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Киньябаевич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6;</w:t>
      </w:r>
    </w:p>
    <w:p w14:paraId="431D1767" w14:textId="3F4147A6" w:rsidR="00397A3C" w:rsidRPr="009F6639" w:rsidRDefault="00397A3C" w:rsidP="00397A3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Газизова</w:t>
      </w:r>
      <w:proofErr w:type="spellEnd"/>
      <w:r>
        <w:rPr>
          <w:rFonts w:ascii="Arial" w:hAnsi="Arial" w:cs="Arial"/>
          <w:sz w:val="24"/>
          <w:szCs w:val="24"/>
        </w:rPr>
        <w:t xml:space="preserve"> Лилия </w:t>
      </w:r>
      <w:proofErr w:type="spellStart"/>
      <w:r>
        <w:rPr>
          <w:rFonts w:ascii="Arial" w:hAnsi="Arial" w:cs="Arial"/>
          <w:sz w:val="24"/>
          <w:szCs w:val="24"/>
        </w:rPr>
        <w:t>Ринатовна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</w:t>
      </w:r>
      <w:r>
        <w:rPr>
          <w:rFonts w:ascii="Arial" w:hAnsi="Arial" w:cs="Arial"/>
          <w:sz w:val="24"/>
          <w:szCs w:val="24"/>
        </w:rPr>
        <w:t>епутат избирательного округа № 8</w:t>
      </w:r>
      <w:r w:rsidRPr="009F6639">
        <w:rPr>
          <w:rFonts w:ascii="Arial" w:hAnsi="Arial" w:cs="Arial"/>
          <w:sz w:val="24"/>
          <w:szCs w:val="24"/>
        </w:rPr>
        <w:t>;</w:t>
      </w:r>
    </w:p>
    <w:p w14:paraId="7C2213D1" w14:textId="77777777" w:rsidR="00397A3C" w:rsidRPr="009F6639" w:rsidRDefault="00397A3C" w:rsidP="00397A3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6639">
        <w:rPr>
          <w:rFonts w:ascii="Arial" w:hAnsi="Arial" w:cs="Arial"/>
          <w:sz w:val="24"/>
          <w:szCs w:val="24"/>
        </w:rPr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Байбулдина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Фаниза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Зайнулловна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– управляющий делами администрации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сельсовет.</w:t>
      </w:r>
    </w:p>
    <w:p w14:paraId="425F2DD0" w14:textId="77777777" w:rsidR="00397A3C" w:rsidRPr="009F6639" w:rsidRDefault="00397A3C" w:rsidP="00397A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 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9F66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(по адресу:</w:t>
      </w:r>
      <w:proofErr w:type="gram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Саитбаба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, ул. Партизанская, 50)  </w:t>
      </w:r>
      <w:r w:rsidRPr="009F6639">
        <w:rPr>
          <w:rFonts w:ascii="Arial" w:eastAsia="Times New Roman" w:hAnsi="Arial" w:cs="Arial"/>
          <w:iCs/>
          <w:sz w:val="24"/>
          <w:szCs w:val="24"/>
          <w:lang w:eastAsia="ru-RU"/>
        </w:rPr>
        <w:t>в 10-дневный срок со дня опубликования настоящего решения.</w:t>
      </w:r>
      <w:proofErr w:type="gramEnd"/>
    </w:p>
    <w:p w14:paraId="586D6C30" w14:textId="77777777" w:rsidR="00397A3C" w:rsidRPr="009F6639" w:rsidRDefault="00397A3C" w:rsidP="00397A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5. Обнародовать настоящее решение на информационном стенде администрации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  </w:t>
      </w:r>
    </w:p>
    <w:p w14:paraId="78DC4F4A" w14:textId="77777777" w:rsidR="00397A3C" w:rsidRPr="009F6639" w:rsidRDefault="00397A3C" w:rsidP="00397A3C">
      <w:pPr>
        <w:spacing w:after="0" w:line="240" w:lineRule="auto"/>
        <w:ind w:right="-85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36DAD2A1" w14:textId="77777777" w:rsidR="00397A3C" w:rsidRPr="009F6639" w:rsidRDefault="00397A3C" w:rsidP="00397A3C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CF3100" w14:textId="77777777" w:rsidR="00397A3C" w:rsidRPr="009F6639" w:rsidRDefault="00397A3C" w:rsidP="00397A3C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77D8E" w14:textId="77777777" w:rsidR="00397A3C" w:rsidRPr="009F6639" w:rsidRDefault="00397A3C" w:rsidP="00397A3C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B87F09" w14:textId="77777777" w:rsidR="00397A3C" w:rsidRPr="009F6639" w:rsidRDefault="00397A3C" w:rsidP="00397A3C">
      <w:pPr>
        <w:spacing w:after="0"/>
        <w:ind w:right="566" w:firstLine="567"/>
        <w:rPr>
          <w:rFonts w:ascii="Arial" w:hAnsi="Arial" w:cs="Arial"/>
          <w:color w:val="000000"/>
          <w:sz w:val="24"/>
          <w:szCs w:val="24"/>
        </w:rPr>
      </w:pPr>
    </w:p>
    <w:p w14:paraId="44EE5CED" w14:textId="77777777" w:rsidR="00397A3C" w:rsidRPr="009F6639" w:rsidRDefault="00397A3C" w:rsidP="00397A3C">
      <w:pPr>
        <w:spacing w:after="0"/>
        <w:rPr>
          <w:rFonts w:ascii="Arial" w:hAnsi="Arial" w:cs="Arial"/>
          <w:bCs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Глава </w:t>
      </w:r>
      <w:r w:rsidRPr="009F6639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14:paraId="076FD614" w14:textId="77777777" w:rsidR="00397A3C" w:rsidRPr="009F6639" w:rsidRDefault="00397A3C" w:rsidP="00397A3C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F6639">
        <w:rPr>
          <w:rFonts w:ascii="Arial" w:hAnsi="Arial" w:cs="Arial"/>
          <w:bCs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sz w:val="24"/>
          <w:szCs w:val="24"/>
        </w:rPr>
        <w:t xml:space="preserve"> </w:t>
      </w:r>
    </w:p>
    <w:p w14:paraId="687478E8" w14:textId="77777777" w:rsidR="00397A3C" w:rsidRPr="009F6639" w:rsidRDefault="00397A3C" w:rsidP="00397A3C">
      <w:pPr>
        <w:spacing w:after="0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</w:t>
      </w:r>
    </w:p>
    <w:p w14:paraId="574F4C99" w14:textId="77777777" w:rsidR="00397A3C" w:rsidRPr="009F6639" w:rsidRDefault="00397A3C" w:rsidP="00397A3C">
      <w:pPr>
        <w:spacing w:after="0"/>
        <w:rPr>
          <w:rFonts w:ascii="Arial" w:hAnsi="Arial" w:cs="Arial"/>
          <w:sz w:val="24"/>
          <w:szCs w:val="24"/>
          <w:lang w:val="ba-RU"/>
        </w:rPr>
      </w:pP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                                                            </w:t>
      </w:r>
      <w:proofErr w:type="spellStart"/>
      <w:r w:rsidRPr="009F6639">
        <w:rPr>
          <w:rFonts w:ascii="Arial" w:hAnsi="Arial" w:cs="Arial"/>
          <w:sz w:val="24"/>
          <w:szCs w:val="24"/>
        </w:rPr>
        <w:t>В.С.Кунафин</w:t>
      </w:r>
      <w:proofErr w:type="spellEnd"/>
    </w:p>
    <w:p w14:paraId="183A6E23" w14:textId="77777777" w:rsidR="00397A3C" w:rsidRPr="009F6639" w:rsidRDefault="00397A3C" w:rsidP="00397A3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</w:t>
      </w:r>
    </w:p>
    <w:p w14:paraId="14A0056A" w14:textId="77777777" w:rsidR="00397A3C" w:rsidRPr="009F6639" w:rsidRDefault="00397A3C" w:rsidP="00397A3C">
      <w:pPr>
        <w:spacing w:after="0"/>
        <w:jc w:val="both"/>
        <w:rPr>
          <w:sz w:val="28"/>
          <w:szCs w:val="28"/>
        </w:rPr>
      </w:pPr>
    </w:p>
    <w:p w14:paraId="59FC7F09" w14:textId="77777777" w:rsidR="00397A3C" w:rsidRPr="009F6639" w:rsidRDefault="00397A3C" w:rsidP="00397A3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</w:p>
    <w:p w14:paraId="46A259B4" w14:textId="40DE6F38" w:rsidR="00397A3C" w:rsidRPr="009F6639" w:rsidRDefault="00397A3C" w:rsidP="00397A3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D583BA2" w14:textId="55F73A51" w:rsidR="00397A3C" w:rsidRPr="009F6639" w:rsidRDefault="00397A3C" w:rsidP="00397A3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29/4-19</w:t>
      </w:r>
    </w:p>
    <w:p w14:paraId="1CF4AF9D" w14:textId="77777777" w:rsidR="00397A3C" w:rsidRPr="008F7233" w:rsidRDefault="00397A3C" w:rsidP="00397A3C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201D3E1" w14:textId="77777777" w:rsidR="00397A3C" w:rsidRDefault="00397A3C" w:rsidP="00397A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B2A4145" w14:textId="77777777" w:rsidR="00397A3C" w:rsidRDefault="00397A3C" w:rsidP="00397A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7E3E828" w14:textId="77777777" w:rsidR="00397A3C" w:rsidRDefault="00397A3C">
      <w:pPr>
        <w:rPr>
          <w:lang w:val="en-US"/>
        </w:rPr>
      </w:pPr>
    </w:p>
    <w:p w14:paraId="3D4E186E" w14:textId="77777777" w:rsidR="00397A3C" w:rsidRDefault="00397A3C">
      <w:pPr>
        <w:rPr>
          <w:lang w:val="en-US"/>
        </w:rPr>
      </w:pPr>
    </w:p>
    <w:p w14:paraId="780C12E4" w14:textId="77777777" w:rsidR="00397A3C" w:rsidRDefault="00397A3C">
      <w:pPr>
        <w:rPr>
          <w:lang w:val="en-US"/>
        </w:rPr>
      </w:pPr>
    </w:p>
    <w:p w14:paraId="023DBA5B" w14:textId="77777777" w:rsidR="00397A3C" w:rsidRDefault="00397A3C">
      <w:pPr>
        <w:rPr>
          <w:lang w:val="en-US"/>
        </w:rPr>
      </w:pPr>
    </w:p>
    <w:p w14:paraId="1522DC66" w14:textId="77777777" w:rsidR="00397A3C" w:rsidRDefault="00397A3C">
      <w:pPr>
        <w:rPr>
          <w:lang w:val="en-US"/>
        </w:rPr>
      </w:pPr>
    </w:p>
    <w:p w14:paraId="756DF664" w14:textId="77777777" w:rsidR="00397A3C" w:rsidRDefault="00397A3C">
      <w:pPr>
        <w:rPr>
          <w:lang w:val="en-US"/>
        </w:rPr>
      </w:pPr>
    </w:p>
    <w:p w14:paraId="16925A29" w14:textId="77777777" w:rsidR="00397A3C" w:rsidRDefault="00397A3C">
      <w:pPr>
        <w:rPr>
          <w:lang w:val="en-US"/>
        </w:rPr>
      </w:pPr>
    </w:p>
    <w:p w14:paraId="079985BA" w14:textId="77777777" w:rsidR="00397A3C" w:rsidRDefault="00397A3C">
      <w:pPr>
        <w:rPr>
          <w:lang w:val="en-US"/>
        </w:rPr>
      </w:pPr>
    </w:p>
    <w:p w14:paraId="27ABF834" w14:textId="77777777" w:rsidR="00397A3C" w:rsidRDefault="00397A3C">
      <w:pPr>
        <w:rPr>
          <w:lang w:val="en-US"/>
        </w:rPr>
      </w:pPr>
    </w:p>
    <w:p w14:paraId="0B5DAF3F" w14:textId="77777777" w:rsidR="00397A3C" w:rsidRDefault="00397A3C">
      <w:pPr>
        <w:rPr>
          <w:lang w:val="en-US"/>
        </w:rPr>
      </w:pPr>
    </w:p>
    <w:p w14:paraId="2418BAE3" w14:textId="77777777" w:rsidR="00397A3C" w:rsidRDefault="00397A3C">
      <w:pPr>
        <w:rPr>
          <w:lang w:val="en-US"/>
        </w:rPr>
      </w:pPr>
    </w:p>
    <w:p w14:paraId="63C65660" w14:textId="77777777" w:rsidR="00397A3C" w:rsidRDefault="00397A3C">
      <w:pPr>
        <w:rPr>
          <w:lang w:val="en-US"/>
        </w:rPr>
      </w:pPr>
    </w:p>
    <w:p w14:paraId="4AEC9EC1" w14:textId="77777777" w:rsidR="00397A3C" w:rsidRDefault="00397A3C">
      <w:pPr>
        <w:rPr>
          <w:lang w:val="en-US"/>
        </w:rPr>
      </w:pPr>
    </w:p>
    <w:p w14:paraId="729331F2" w14:textId="77777777" w:rsidR="00397A3C" w:rsidRPr="00397A3C" w:rsidRDefault="00397A3C">
      <w:pPr>
        <w:rPr>
          <w:lang w:val="en-US"/>
        </w:rPr>
      </w:pPr>
    </w:p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5740EB" w14:textId="4C6B1C18" w:rsidR="004A528A" w:rsidRDefault="004A528A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</w:t>
      </w:r>
      <w:r w:rsidR="00135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УРИЙСКИЙ РАЙОН РЕСПУБЛИКИ БАШК</w:t>
      </w:r>
      <w:r w:rsidR="0020323B">
        <w:rPr>
          <w:rFonts w:ascii="Times New Roman" w:hAnsi="Times New Roman" w:cs="Times New Roman"/>
          <w:sz w:val="28"/>
          <w:szCs w:val="28"/>
        </w:rPr>
        <w:t>ОРТОСТАН</w:t>
      </w:r>
    </w:p>
    <w:p w14:paraId="48BA7DC6" w14:textId="766A6F9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764281" w14:textId="77777777" w:rsidR="0020323B" w:rsidRDefault="0020323B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5BAF6462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254A8A92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657C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657C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657C">
        <w:rPr>
          <w:rFonts w:ascii="Times New Roman" w:hAnsi="Times New Roman" w:cs="Times New Roman"/>
          <w:sz w:val="28"/>
          <w:szCs w:val="28"/>
        </w:rPr>
        <w:t>6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22E9082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0A39304E" w14:textId="7AB09580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6 064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0305C083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6 064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500,00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02C52AD8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9D511A5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3F1F8E7E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72B23950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5 572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500,00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5 572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500,00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04C618A6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5 572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500,0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5 572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500,00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260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14:paraId="29C1DE9F" w14:textId="7215A103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B1E1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B1E1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2D67BE7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16EB2A2C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3D4466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172987B8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2EA23580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4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1DC8BE8B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5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76B39670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6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</w:t>
      </w:r>
      <w:bookmarkEnd w:id="6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Гафурийский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38D3B80A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8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4D6BF667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319229C2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1D3D83C8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рубля,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рубля,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3529D35C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731263D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по состоянию на 01 января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1100263F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14:paraId="11E66BC4" w14:textId="3FF62655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0A986C3D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B4ABE34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</w:t>
      </w:r>
      <w:r w:rsidR="00D670D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</w:t>
      </w:r>
      <w:r w:rsidR="00DB6E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29827B3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B6E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5B440FAA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Гафурийский район</w:t>
      </w:r>
    </w:p>
    <w:p w14:paraId="2C406B9E" w14:textId="1004C185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proofErr w:type="gramStart"/>
      <w:r w:rsidR="003D14FB">
        <w:rPr>
          <w:rFonts w:ascii="Times New Roman" w:hAnsi="Times New Roman" w:cs="Times New Roman"/>
          <w:sz w:val="28"/>
          <w:szCs w:val="28"/>
        </w:rPr>
        <w:tab/>
      </w:r>
      <w:r w:rsidR="00397B0D">
        <w:rPr>
          <w:rFonts w:ascii="Times New Roman" w:hAnsi="Times New Roman" w:cs="Times New Roman"/>
          <w:sz w:val="28"/>
          <w:szCs w:val="28"/>
        </w:rPr>
        <w:t>_________________ ( __________________ )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2B76934E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6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6606"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</w:p>
    <w:p w14:paraId="32F8277F" w14:textId="6F2861F2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</w:t>
      </w:r>
      <w:r w:rsidR="00DB6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9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FCF5" w14:textId="77777777" w:rsidR="003146CD" w:rsidRDefault="003146CD" w:rsidP="00A73E2F">
      <w:r>
        <w:separator/>
      </w:r>
    </w:p>
  </w:endnote>
  <w:endnote w:type="continuationSeparator" w:id="0">
    <w:p w14:paraId="26D4C3D4" w14:textId="77777777" w:rsidR="003146CD" w:rsidRDefault="003146CD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AA59F" w14:textId="77777777" w:rsidR="003146CD" w:rsidRDefault="003146CD" w:rsidP="00A73E2F">
      <w:r>
        <w:separator/>
      </w:r>
    </w:p>
  </w:footnote>
  <w:footnote w:type="continuationSeparator" w:id="0">
    <w:p w14:paraId="474D51E2" w14:textId="77777777" w:rsidR="003146CD" w:rsidRDefault="003146CD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97A3C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4C08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1E1F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47FA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68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6CD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A3C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C657C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3E5B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606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0D8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6E2C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169B-A864-44A7-B067-D47E21AB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</cp:revision>
  <cp:lastPrinted>2022-10-31T04:42:00Z</cp:lastPrinted>
  <dcterms:created xsi:type="dcterms:W3CDTF">2023-12-04T05:49:00Z</dcterms:created>
  <dcterms:modified xsi:type="dcterms:W3CDTF">2023-12-04T05:49:00Z</dcterms:modified>
</cp:coreProperties>
</file>