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AB4A45" w:rsidTr="0047139D">
        <w:trPr>
          <w:cantSplit/>
          <w:trHeight w:val="1141"/>
        </w:trPr>
        <w:tc>
          <w:tcPr>
            <w:tcW w:w="4497" w:type="dxa"/>
            <w:gridSpan w:val="2"/>
          </w:tcPr>
          <w:p w:rsidR="00AB4A45" w:rsidRDefault="00AB4A45" w:rsidP="00AB4A45">
            <w:pPr>
              <w:spacing w:after="0"/>
              <w:ind w:firstLine="395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Palatino Linotype" w:hAnsi="Palatino Linotype"/>
                <w:b/>
              </w:rPr>
              <w:t>Ҡ</w:t>
            </w:r>
            <w:r>
              <w:rPr>
                <w:b/>
              </w:rPr>
              <w:t>ОРТОСТАН РЕСПУБЛИКАҺ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AB4A45" w:rsidRDefault="00AB4A45" w:rsidP="00AB4A45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proofErr w:type="gramEnd"/>
            <w:r>
              <w:rPr>
                <w:b/>
              </w:rPr>
              <w:t>АФУРИ  РАЙОНЫ</w:t>
            </w:r>
          </w:p>
          <w:p w:rsidR="00AB4A45" w:rsidRDefault="00AB4A45" w:rsidP="00AB4A45">
            <w:pPr>
              <w:spacing w:after="0"/>
              <w:jc w:val="center"/>
              <w:rPr>
                <w:rFonts w:ascii="Times Cyr Bash Normal" w:hAnsi="Times Cyr Bash Normal"/>
                <w:b/>
              </w:rPr>
            </w:pPr>
            <w:r>
              <w:rPr>
                <w:b/>
              </w:rPr>
              <w:t>МУНИЦИПАЛЬ РАЙОНЫНЫ</w:t>
            </w:r>
            <w:r>
              <w:rPr>
                <w:rFonts w:ascii="Palatino Linotype" w:hAnsi="Palatino Linotype"/>
                <w:b/>
              </w:rPr>
              <w:t>Ң</w:t>
            </w:r>
          </w:p>
          <w:p w:rsidR="00AB4A45" w:rsidRDefault="00AB4A45" w:rsidP="00AB4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СӘЙЕТБАБА АУЫЛ  СОВЕТЫ</w:t>
            </w:r>
          </w:p>
          <w:p w:rsidR="00AB4A45" w:rsidRDefault="00AB4A45" w:rsidP="00AB4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АУЫЛ  БИЛӘМӘҺЕ</w:t>
            </w:r>
          </w:p>
          <w:p w:rsidR="00AB4A45" w:rsidRPr="00AB4A45" w:rsidRDefault="00AB4A45" w:rsidP="00AB4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</w:tc>
        <w:tc>
          <w:tcPr>
            <w:tcW w:w="1439" w:type="dxa"/>
            <w:vAlign w:val="center"/>
          </w:tcPr>
          <w:p w:rsidR="00AB4A45" w:rsidRDefault="00AB4A45" w:rsidP="0047139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-276225</wp:posOffset>
                  </wp:positionV>
                  <wp:extent cx="819150" cy="1019175"/>
                  <wp:effectExtent l="19050" t="0" r="0" b="0"/>
                  <wp:wrapNone/>
                  <wp:docPr id="2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A45" w:rsidRDefault="00AB4A45" w:rsidP="0047139D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AB4A45" w:rsidRDefault="00AB4A45" w:rsidP="00AB4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</w:p>
          <w:p w:rsidR="00AB4A45" w:rsidRDefault="00AB4A45" w:rsidP="00AB4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СЕЛЬСКОГО  ПОСЕЛЕНИЯ </w:t>
            </w:r>
          </w:p>
          <w:p w:rsidR="00AB4A45" w:rsidRDefault="00AB4A45" w:rsidP="00AB4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САИТБАБИНСКИЙ СЕЛЬСОВЕТ </w:t>
            </w:r>
          </w:p>
          <w:p w:rsidR="00AB4A45" w:rsidRDefault="00AB4A45" w:rsidP="00AB4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AB4A45" w:rsidRDefault="00AB4A45" w:rsidP="00AB4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ГАФУРИЙСКИЙ  РАЙОН</w:t>
            </w:r>
          </w:p>
          <w:p w:rsidR="00AB4A45" w:rsidRDefault="00AB4A45" w:rsidP="00AB4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B4A45" w:rsidRDefault="00AB4A45" w:rsidP="00AB4A45">
            <w:pPr>
              <w:spacing w:after="0"/>
              <w:jc w:val="center"/>
              <w:rPr>
                <w:b/>
              </w:rPr>
            </w:pPr>
          </w:p>
          <w:p w:rsidR="00AB4A45" w:rsidRDefault="00AB4A45" w:rsidP="0047139D">
            <w:pPr>
              <w:jc w:val="center"/>
              <w:rPr>
                <w:lang w:val="en-US"/>
              </w:rPr>
            </w:pPr>
          </w:p>
        </w:tc>
      </w:tr>
      <w:tr w:rsidR="00AB4A45" w:rsidTr="0047139D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45" w:rsidRDefault="00AB4A45" w:rsidP="0047139D">
            <w:pPr>
              <w:rPr>
                <w:rFonts w:ascii="Calibri" w:hAnsi="Calibri"/>
              </w:rPr>
            </w:pPr>
          </w:p>
        </w:tc>
      </w:tr>
    </w:tbl>
    <w:p w:rsidR="00AB4A45" w:rsidRDefault="00AB4A45" w:rsidP="00AB4A45">
      <w:pPr>
        <w:jc w:val="center"/>
      </w:pPr>
    </w:p>
    <w:p w:rsidR="00411D23" w:rsidRPr="00AB4A45" w:rsidRDefault="00AB4A45" w:rsidP="00AB4A45">
      <w:pPr>
        <w:jc w:val="center"/>
        <w:rPr>
          <w:b/>
        </w:rPr>
      </w:pPr>
      <w:r>
        <w:rPr>
          <w:rFonts w:ascii="Palatino Linotype" w:hAnsi="Palatino Linotype"/>
          <w:b/>
        </w:rPr>
        <w:t>Ҡ</w:t>
      </w:r>
      <w:r>
        <w:rPr>
          <w:b/>
        </w:rPr>
        <w:t xml:space="preserve"> А Р А Р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Ш Е Н И Е</w:t>
      </w:r>
    </w:p>
    <w:p w:rsidR="00AB10A8" w:rsidRPr="00AB4A45" w:rsidRDefault="00AB10A8" w:rsidP="00AB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учета предложений по проекту решения</w:t>
      </w:r>
    </w:p>
    <w:p w:rsidR="00AB10A8" w:rsidRPr="00AB4A45" w:rsidRDefault="00AB10A8" w:rsidP="00AB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r w:rsidR="00411D23" w:rsidRPr="00A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Саитбабинский </w:t>
      </w:r>
      <w:r w:rsidRPr="00A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Гафурийский район Республики Башкортостан:</w:t>
      </w:r>
    </w:p>
    <w:p w:rsidR="00AB10A8" w:rsidRPr="00AB4A45" w:rsidRDefault="00AB10A8" w:rsidP="00AB10A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бюджета сельского поселения </w:t>
      </w:r>
      <w:r w:rsidR="00411D23" w:rsidRPr="00A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Саитбабинский</w:t>
      </w:r>
      <w:r w:rsidRPr="00A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 на 2016 год и на плановый период 2017-2018 годов» и участия граждан в его обсуждении</w:t>
      </w:r>
    </w:p>
    <w:p w:rsidR="00AB10A8" w:rsidRPr="00AB10A8" w:rsidRDefault="00AB10A8" w:rsidP="00AB10A8">
      <w:pPr>
        <w:spacing w:after="0" w:line="240" w:lineRule="auto"/>
        <w:ind w:firstLine="720"/>
        <w:jc w:val="center"/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</w:pPr>
    </w:p>
    <w:p w:rsidR="00AB10A8" w:rsidRPr="00AB10A8" w:rsidRDefault="00AB10A8" w:rsidP="00AB10A8">
      <w:pPr>
        <w:spacing w:after="0" w:line="240" w:lineRule="auto"/>
        <w:ind w:firstLine="720"/>
        <w:jc w:val="center"/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</w:pPr>
    </w:p>
    <w:p w:rsidR="00AB10A8" w:rsidRPr="00AB10A8" w:rsidRDefault="00AB10A8" w:rsidP="00AB1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ст.28 Федерального закона №131-ФЗ «Об общих принципах организации местного самоуправления в Российской Федерации, Уставом</w:t>
      </w:r>
      <w:r w:rsidRPr="00AB10A8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11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 Совет</w:t>
      </w:r>
      <w:r w:rsidRPr="00AB10A8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11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Гафурийский район Республики Башкортостан </w:t>
      </w:r>
      <w:r w:rsidRPr="00AB1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B10A8" w:rsidRPr="00AB10A8" w:rsidRDefault="00AB10A8" w:rsidP="00AB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учета предложений по проекту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11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Гафурийский район Республики Башкортостан «Об утверждении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1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Саитбабинский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 на 2016 год и на плановый период 2017-2018 годов» и участия граждан в его обсуждении,  а также участия граждан в его обсуждении (прилагается).</w:t>
      </w:r>
      <w:proofErr w:type="gramEnd"/>
    </w:p>
    <w:p w:rsidR="00AB10A8" w:rsidRPr="00AB10A8" w:rsidRDefault="00AB10A8" w:rsidP="00AB10A8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A8" w:rsidRPr="00AB10A8" w:rsidRDefault="00AB10A8" w:rsidP="00AB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администрации сельского поселения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10A8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</w:t>
      </w:r>
    </w:p>
    <w:p w:rsidR="00AB10A8" w:rsidRPr="00AB10A8" w:rsidRDefault="00AB10A8" w:rsidP="00AB1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AB10A8" w:rsidRPr="00AB10A8" w:rsidRDefault="00AB10A8" w:rsidP="00AB10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A8" w:rsidRPr="00AB10A8" w:rsidRDefault="00AB10A8" w:rsidP="00AB4A45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A8" w:rsidRPr="00AB10A8" w:rsidRDefault="00AB10A8" w:rsidP="00AB10A8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___</w:t>
      </w:r>
      <w:r w:rsidR="00582A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1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411D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</w:t>
      </w:r>
      <w:proofErr w:type="spellEnd"/>
      <w:r w:rsidR="0041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AB10A8" w:rsidRPr="00AB10A8" w:rsidRDefault="00AB10A8" w:rsidP="00AB4A45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A8" w:rsidRDefault="00411D23" w:rsidP="00AB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с.Саитбаба</w:t>
      </w:r>
      <w:r w:rsid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10A8" w:rsidRDefault="00AB10A8" w:rsidP="00AB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</w:p>
    <w:p w:rsidR="00AB10A8" w:rsidRPr="00AB10A8" w:rsidRDefault="00AB10A8" w:rsidP="00AB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4-25/1з</w:t>
      </w:r>
    </w:p>
    <w:p w:rsidR="00AB10A8" w:rsidRPr="00AB10A8" w:rsidRDefault="00AB10A8" w:rsidP="00AB10A8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A8" w:rsidRPr="00AB10A8" w:rsidRDefault="00AB10A8" w:rsidP="00AB10A8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A8" w:rsidRDefault="00AB10A8" w:rsidP="00AB10A8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B10A8" w:rsidRPr="00AB10A8" w:rsidRDefault="00AB10A8" w:rsidP="00AB10A8">
      <w:pPr>
        <w:tabs>
          <w:tab w:val="left" w:pos="67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0A8" w:rsidRPr="00AB10A8" w:rsidRDefault="00AB10A8" w:rsidP="00582ADA">
      <w:pPr>
        <w:tabs>
          <w:tab w:val="left" w:pos="6705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AB10A8" w:rsidRPr="00AB10A8" w:rsidRDefault="00AB10A8" w:rsidP="00582ADA">
      <w:pPr>
        <w:tabs>
          <w:tab w:val="left" w:pos="5850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  <w:r w:rsidRPr="00AB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4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 w:rsidRPr="00AB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B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10A8" w:rsidRPr="00AB10A8" w:rsidRDefault="00AB10A8" w:rsidP="00582ADA">
      <w:pPr>
        <w:tabs>
          <w:tab w:val="left" w:pos="5850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B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AB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AB10A8" w:rsidRPr="00AB10A8" w:rsidRDefault="00AB10A8" w:rsidP="00582ADA">
      <w:pPr>
        <w:tabs>
          <w:tab w:val="left" w:pos="585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Гафурийский район </w:t>
      </w:r>
    </w:p>
    <w:p w:rsidR="00AB10A8" w:rsidRPr="00AB10A8" w:rsidRDefault="00AB10A8" w:rsidP="00582ADA">
      <w:pPr>
        <w:tabs>
          <w:tab w:val="left" w:pos="5850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AB10A8" w:rsidRPr="00AB10A8" w:rsidRDefault="00AB4A45" w:rsidP="00582ADA">
      <w:pPr>
        <w:tabs>
          <w:tab w:val="left" w:pos="5910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</w:t>
      </w:r>
      <w:r w:rsidR="00AB10A8" w:rsidRPr="00AB10A8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  <w:r w:rsidR="00AB10A8" w:rsidRPr="00AB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4-25/1з</w:t>
      </w:r>
    </w:p>
    <w:p w:rsidR="00AB10A8" w:rsidRPr="00AB10A8" w:rsidRDefault="00AB10A8" w:rsidP="00AB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A8" w:rsidRPr="00AB10A8" w:rsidRDefault="00AB10A8" w:rsidP="00AB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B10A8" w:rsidRPr="00AB10A8" w:rsidRDefault="00AB10A8" w:rsidP="00AB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по проекту решения</w:t>
      </w:r>
    </w:p>
    <w:p w:rsidR="00AB10A8" w:rsidRPr="00AB10A8" w:rsidRDefault="00AB10A8" w:rsidP="00AB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0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</w:p>
    <w:p w:rsidR="00AB10A8" w:rsidRPr="00AB10A8" w:rsidRDefault="00AB10A8" w:rsidP="00AB10A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0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 на 2016 год и на плановый период 2017-2018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</w:t>
      </w:r>
    </w:p>
    <w:p w:rsidR="00AB10A8" w:rsidRPr="00AB10A8" w:rsidRDefault="00AB10A8" w:rsidP="005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A8" w:rsidRPr="00AB10A8" w:rsidRDefault="00AB10A8" w:rsidP="00AB10A8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2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Гафурийский район</w:t>
      </w:r>
      <w:r w:rsidRPr="00AB1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Республики Башкортостан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в 10-дневный срок со дня обнародования решения о публичных слушаниях по проекту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2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Гафурийский район Республики Башкортостан: </w:t>
      </w:r>
      <w:proofErr w:type="gramStart"/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бюджета сельского поселения </w:t>
      </w:r>
      <w:r w:rsidR="0022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 на 2016 год и на плановый период 2017-2018 годов»  (далее - проект решения),  в письменной форме вносить предложения в Совет сельского поселения </w:t>
      </w:r>
      <w:r w:rsidR="0058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 w:rsidR="00582ADA"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Гафурийский район Республики Башкортостан: (по адресу:</w:t>
      </w:r>
      <w:proofErr w:type="gramEnd"/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 Гафурийский район, с.</w:t>
      </w:r>
      <w:r w:rsidR="0058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82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артизанская, д.50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участвовать в публичных слушаниях </w:t>
      </w:r>
      <w:r w:rsidRPr="00AB1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обсуждению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решения, порядок организации и проведения которых определяется положением.</w:t>
      </w:r>
    </w:p>
    <w:p w:rsidR="00AB10A8" w:rsidRPr="00AB10A8" w:rsidRDefault="00AB10A8" w:rsidP="00AB1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B1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</w:t>
      </w:r>
      <w:r w:rsidRPr="00AB1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AB10A8" w:rsidRPr="00AB10A8" w:rsidRDefault="00AB10A8" w:rsidP="00AB10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B1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учитываются комиссией по подготовке и проведению публичных слушаний Совета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 (далее – комиссия) в журнале учета предложений по проекту решения, который должен быть прошит и пронумерован.</w:t>
      </w:r>
    </w:p>
    <w:p w:rsidR="00AB10A8" w:rsidRPr="00AB10A8" w:rsidRDefault="00AB10A8" w:rsidP="00AB10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по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рассматриваются, обобщаются и учитываются комиссией при предварительном рассмотрении </w:t>
      </w:r>
      <w:r w:rsidRPr="00AB1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0A8" w:rsidRPr="00AB10A8" w:rsidRDefault="00AB10A8" w:rsidP="00AB10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AB10A8" w:rsidRPr="00AB10A8" w:rsidRDefault="00AB10A8" w:rsidP="00AB1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комиссии рассматривается Советом до принятия соответствующего решения.</w:t>
      </w:r>
    </w:p>
    <w:p w:rsidR="009C5A13" w:rsidRDefault="009C5A13"/>
    <w:sectPr w:rsidR="009C5A13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A8"/>
    <w:rsid w:val="001F1D03"/>
    <w:rsid w:val="00220B0C"/>
    <w:rsid w:val="00411D23"/>
    <w:rsid w:val="00553491"/>
    <w:rsid w:val="00582ADA"/>
    <w:rsid w:val="007460EC"/>
    <w:rsid w:val="008D0622"/>
    <w:rsid w:val="009A08D2"/>
    <w:rsid w:val="009C5A13"/>
    <w:rsid w:val="00AB10A8"/>
    <w:rsid w:val="00A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Windows User</cp:lastModifiedBy>
  <cp:revision>5</cp:revision>
  <dcterms:created xsi:type="dcterms:W3CDTF">2015-12-21T04:07:00Z</dcterms:created>
  <dcterms:modified xsi:type="dcterms:W3CDTF">2015-12-21T06:05:00Z</dcterms:modified>
</cp:coreProperties>
</file>