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983D0E" w:rsidRPr="00111FD9" w:rsidTr="009215C7">
        <w:trPr>
          <w:cantSplit/>
          <w:trHeight w:val="1141"/>
        </w:trPr>
        <w:tc>
          <w:tcPr>
            <w:tcW w:w="4497" w:type="dxa"/>
            <w:gridSpan w:val="2"/>
          </w:tcPr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БАШКОРТОСТАН РЕСПУБЛИКАҺ</w:t>
            </w:r>
            <w:proofErr w:type="gramStart"/>
            <w:r w:rsidRPr="00111FD9">
              <w:rPr>
                <w:b/>
              </w:rPr>
              <w:t>Ы</w:t>
            </w:r>
            <w:proofErr w:type="gramEnd"/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proofErr w:type="gramStart"/>
            <w:r w:rsidRPr="00111FD9">
              <w:rPr>
                <w:b/>
              </w:rPr>
              <w:t>F</w:t>
            </w:r>
            <w:proofErr w:type="gramEnd"/>
            <w:r w:rsidRPr="00111FD9">
              <w:rPr>
                <w:b/>
              </w:rPr>
              <w:t>АФУРИ  РАЙОНЫ</w:t>
            </w:r>
          </w:p>
          <w:p w:rsidR="00983D0E" w:rsidRPr="001C5065" w:rsidRDefault="00983D0E" w:rsidP="009215C7">
            <w:pPr>
              <w:spacing w:after="0"/>
              <w:jc w:val="center"/>
              <w:rPr>
                <w:b/>
                <w:lang w:val="ba-RU"/>
              </w:rPr>
            </w:pPr>
            <w:r>
              <w:rPr>
                <w:b/>
              </w:rPr>
              <w:t>МУНИЦИПАЛЬ РАЙОНЫНЫ</w:t>
            </w:r>
            <w:r>
              <w:rPr>
                <w:b/>
                <w:lang w:val="ba-RU"/>
              </w:rPr>
              <w:t>Ң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СӘЙЕТБАБА АУЫЛ  СОВЕТЫ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АУЫЛ  БИЛӘМӘҺЕ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СОВЕТЫ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4B45BEBC" wp14:editId="4DB309E3">
                  <wp:extent cx="819150" cy="1019175"/>
                  <wp:effectExtent l="19050" t="0" r="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СОВЕТ 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СЕЛЬСКОГО  ПОСЕЛЕНИЯ 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 xml:space="preserve">САИТБАБИНСКИЙ СЕЛЬСОВЕТ </w:t>
            </w:r>
          </w:p>
          <w:p w:rsidR="00983D0E" w:rsidRDefault="00983D0E" w:rsidP="009215C7">
            <w:pPr>
              <w:spacing w:after="0"/>
              <w:jc w:val="center"/>
              <w:rPr>
                <w:b/>
                <w:lang w:val="ba-RU"/>
              </w:rPr>
            </w:pPr>
            <w:r w:rsidRPr="00111FD9">
              <w:rPr>
                <w:b/>
              </w:rPr>
              <w:t xml:space="preserve">МУНИЦИПАЛЬНОГО РАЙОНА 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ГАФУРИЙСКИЙ  РАЙОН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  <w:r w:rsidRPr="00111FD9">
              <w:rPr>
                <w:b/>
              </w:rPr>
              <w:t>РЕСПУБЛИКИ БАШКОРТОСТАН</w:t>
            </w:r>
          </w:p>
          <w:p w:rsidR="00983D0E" w:rsidRPr="00111FD9" w:rsidRDefault="00983D0E" w:rsidP="009215C7">
            <w:pPr>
              <w:spacing w:after="0"/>
              <w:jc w:val="center"/>
              <w:rPr>
                <w:b/>
              </w:rPr>
            </w:pPr>
          </w:p>
          <w:p w:rsidR="00983D0E" w:rsidRPr="00111FD9" w:rsidRDefault="00983D0E" w:rsidP="009215C7">
            <w:pPr>
              <w:spacing w:after="0"/>
              <w:jc w:val="center"/>
              <w:rPr>
                <w:lang w:val="en-US"/>
              </w:rPr>
            </w:pPr>
          </w:p>
        </w:tc>
      </w:tr>
      <w:tr w:rsidR="00983D0E" w:rsidTr="009215C7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D0E" w:rsidRDefault="00983D0E" w:rsidP="009215C7">
            <w:pPr>
              <w:spacing w:after="0"/>
              <w:rPr>
                <w:rFonts w:ascii="Calibri" w:hAnsi="Calibri"/>
              </w:rPr>
            </w:pPr>
          </w:p>
        </w:tc>
      </w:tr>
    </w:tbl>
    <w:p w:rsidR="00983D0E" w:rsidRDefault="00983D0E" w:rsidP="00983D0E">
      <w:pPr>
        <w:spacing w:after="0"/>
        <w:ind w:left="-1080"/>
        <w:jc w:val="center"/>
        <w:rPr>
          <w:b/>
        </w:rPr>
      </w:pPr>
    </w:p>
    <w:p w:rsidR="00983D0E" w:rsidRPr="00B54712" w:rsidRDefault="00983D0E" w:rsidP="00983D0E">
      <w:pPr>
        <w:spacing w:after="0"/>
        <w:ind w:left="-1080"/>
        <w:jc w:val="center"/>
        <w:rPr>
          <w:b/>
        </w:rPr>
      </w:pPr>
      <w:r>
        <w:rPr>
          <w:rFonts w:hAnsi="Palatino Linotype"/>
          <w:b/>
        </w:rPr>
        <w:t xml:space="preserve">  </w:t>
      </w:r>
      <w:r w:rsidRPr="00B54712">
        <w:rPr>
          <w:rFonts w:hAnsi="Palatino Linotype"/>
          <w:b/>
        </w:rPr>
        <w:t>Ҡ</w:t>
      </w:r>
      <w:r w:rsidRPr="00B54712">
        <w:rPr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B54712">
        <w:rPr>
          <w:b/>
        </w:rPr>
        <w:t>Р</w:t>
      </w:r>
      <w:proofErr w:type="spellEnd"/>
      <w:proofErr w:type="gramEnd"/>
      <w:r w:rsidRPr="00B54712">
        <w:rPr>
          <w:b/>
        </w:rPr>
        <w:t xml:space="preserve"> Е Ш Е Н И Е</w:t>
      </w:r>
    </w:p>
    <w:p w:rsidR="00983D0E" w:rsidRDefault="00983D0E" w:rsidP="00983D0E">
      <w:pPr>
        <w:spacing w:after="0" w:line="240" w:lineRule="auto"/>
        <w:ind w:left="720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D0E" w:rsidRDefault="00983D0E" w:rsidP="00983D0E">
      <w:pPr>
        <w:spacing w:after="0" w:line="240" w:lineRule="auto"/>
        <w:ind w:left="720" w:hanging="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главы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деятельности Совета и администрации за 2021 год</w:t>
      </w:r>
    </w:p>
    <w:p w:rsidR="00983D0E" w:rsidRPr="00983D0E" w:rsidRDefault="00983D0E" w:rsidP="00983D0E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Регламентом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1.Принять к сведению доклад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«О деятельности Совета и администрации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2021 год</w:t>
      </w:r>
      <w:proofErr w:type="gram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прилагается).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2.Считать удовлетворительным деятельность Совета 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2021 году.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соответствии с законодательством.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В.С.Кунафин</w:t>
      </w:r>
      <w:proofErr w:type="spellEnd"/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Саитбаба</w:t>
      </w:r>
      <w:proofErr w:type="spellEnd"/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«16» февраля</w:t>
      </w:r>
      <w:r w:rsidRPr="0098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</w:t>
      </w:r>
    </w:p>
    <w:p w:rsidR="00983D0E" w:rsidRPr="00983D0E" w:rsidRDefault="00983D0E" w:rsidP="00983D0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74-237</w:t>
      </w:r>
      <w:bookmarkStart w:id="0" w:name="_GoBack"/>
      <w:bookmarkEnd w:id="0"/>
    </w:p>
    <w:p w:rsidR="008D5DD2" w:rsidRDefault="008D5DD2"/>
    <w:sectPr w:rsidR="008D5DD2" w:rsidSect="008700BD">
      <w:footerReference w:type="default" r:id="rId6"/>
      <w:pgSz w:w="11906" w:h="16838"/>
      <w:pgMar w:top="1135" w:right="850" w:bottom="568" w:left="851" w:header="113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5B7" w:rsidRDefault="00983D0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515B7" w:rsidRDefault="00983D0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C4"/>
    <w:rsid w:val="00806AC4"/>
    <w:rsid w:val="008D5DD2"/>
    <w:rsid w:val="009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D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3D0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3D0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83D0E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3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2022-04-25T13:25:00Z</dcterms:created>
  <dcterms:modified xsi:type="dcterms:W3CDTF">2022-04-25T13:25:00Z</dcterms:modified>
</cp:coreProperties>
</file>